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  <w:lang w:eastAsia="zh-CN"/>
        </w:rPr>
        <w:t>南通市中心血站站内及站外采血点和采血车空调维保项目</w:t>
      </w:r>
      <w:r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</w:rPr>
        <w:t>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一、空调维保服务内容：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日常维保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常规性检测、维护、保养，每月进行一次巡检，并将巡检情况以巡检报告的形式报给血站后勤部门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全面维护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全年空调机组系统全面的维护保养、调整系统工况四次，每季度各一次。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维保工作包含了日常消耗材料：如保养过程中油漆、螺丝、螺栓等标准件；电气熔断丝、保险管、纱布、纱带、螺丝、生料带、胶布、保温管、带、机油、黄油、焊丝、焊膏等零星配件费用（含单价500元以下的配件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及时维修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双方合同期内，接南通市中心血站故障报修通知，必须在2小时内响应到站，4个小时内完成空调故障维修或空调拆装,特殊科室故障特事特办。如果大修时间较长，由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免费提供备用机器使用。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（1）维保责任：更换的空调配件质保期1年。若3个月内产生故障，维保单位负责免费更换；3个月以上产生故障，须免费维修。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（2）零部件要求：维修更换的主要配件材料须使用指定品牌配件，必须承诺并保证提供的零部件为全新原厂正品，否则按国家相关规定承担赔偿责任。若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拒绝对造成的损失承担赔偿责任，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有权从维保费用支取违约金、赔偿金。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（1）确保空调机组、系统及相关部件运行状态良好。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（2）调机组系统冷媒、冷凝、水系统无渗漏，保温良好。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（3）故障报修快速反应，及时维修，确保空调正常使用。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（4）日常维保、全面维保、故障维修均建立完备的维修保养档案，实现系统化、信息化、程序化规范管理。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按照规定及时维修（或及时做出反映），发现一次扣人民币500元，全年发现3次，扣减全年维护费用的5%进行处罚。未按照规定的巡检内容、要求和周期进行巡检，发现一次扣人民币500元，发现3次以上，扣减全年维护费5%。未及时提交季度《巡检计划表》《巡检报告》《故障处理报告》，未能及时更新《空调维护信息档案》的，每次扣人民币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空调故障或室内高温导致办公场所或业务科室设备运行中断，扣留未付的所有维护费，并赔偿全部损失。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三、本地化服务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成交供应商需承诺成交后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在南通市区设立常驻机构，配合血站及时完成故障抢修。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成交通知书发出后七个工作日内提供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房产证明或房屋租赁协议。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四、项目款支付方式：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费用结算：待服务完成考核合格后，凭正规发票每半年结算一次维护费用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五、车辆和仪表配置原则：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74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最低标准数量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车辆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笔记本电脑及连接线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双头高低压力表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氧焊机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检漏仪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数字万用表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钳型电流表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红外线测温仪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组合工具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高压水枪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真空泵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吸尘器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公、英制扩口器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管道疏通器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智能手机终端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（符合合作方管控系统的要求）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742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数码相机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1部</w:t>
            </w:r>
          </w:p>
        </w:tc>
      </w:tr>
    </w:tbl>
    <w:p>
      <w:pPr>
        <w:widowControl/>
        <w:topLinePunct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需踏勘工程场地和相关的周边环境及设备的好坏，领取采购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后勤部门出具的踏勘现场证明后方可参与投标。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后无论机器好坏、维修的复杂，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均由成交供应商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负责修复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附表：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836"/>
        <w:gridCol w:w="2673"/>
        <w:gridCol w:w="1233"/>
        <w:gridCol w:w="98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 目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富士通风管式内机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ARQB090G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ARQC180G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富士通吸顶式内机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AUQB022G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AUQB028G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AUQB036G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AUQB045G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AUQB056G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AUQA071G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AUQA080G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AUQA090G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AUQA100G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富士通线控器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UTY-RNKYT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富士通多联室外机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AJQ680L（24P)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AJQ735L(26P)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AJQ850L(30P)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AJQ960L(34P)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AJQ1010L(36P)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AJQ1130L(40)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AJQ1185L(42P)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AJQ1235L(44P)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AJQ1350L(48P)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富士通新风室内机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ARQH224G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ARQH280G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ARQH280G*2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富士通新风室外机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AJQ224L(8P)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AJQ280L(10P)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AJQ560L(20P)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盾安屋顶机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WFWR190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格力分体机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（三匹为主）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 目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富士通多联室外机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AJQ450LALBH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AJQ280LALBH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AJQ400LALBH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富士通多联室内机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AUQA056GLAH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AUQA100GLAH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精密空调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艾默生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16181"/>
    <w:rsid w:val="30E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2022-09-13T13:40:00Z</dcterms:created>
  <dc:creator>L</dc:creator>
  <cp:lastModifiedBy>L</cp:lastModifiedBy>
  <dcterms:modified xsi:type="dcterms:W3CDTF">2022-09-13T13:41:04Z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038DE4A2C3374140864A5C3727BDF691</vt:lpwstr>
  </property>
</Properties>
</file>