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napToGrid w:val="0"/>
        <w:spacing w:line="480" w:lineRule="exact"/>
        <w:jc w:val="center"/>
        <w:rPr>
          <w:rStyle w:val="9"/>
          <w:rFonts w:hint="eastAsia" w:ascii="宋体" w:hAnsi="宋体" w:eastAsia="宋体" w:cs="宋体"/>
          <w:b/>
          <w:color w:val="auto"/>
          <w:w w:val="80"/>
          <w:kern w:val="44"/>
          <w:sz w:val="36"/>
          <w:szCs w:val="36"/>
          <w:highlight w:val="none"/>
          <w:u w:val="none" w:color="auto"/>
          <w:lang w:eastAsia="zh-CN"/>
        </w:rPr>
      </w:pPr>
      <w:bookmarkStart w:id="0" w:name="_GoBack"/>
      <w:r>
        <w:rPr>
          <w:rStyle w:val="9"/>
          <w:rFonts w:hint="eastAsia" w:ascii="宋体" w:hAnsi="宋体" w:eastAsia="宋体" w:cs="宋体"/>
          <w:b/>
          <w:color w:val="auto"/>
          <w:w w:val="80"/>
          <w:kern w:val="44"/>
          <w:sz w:val="36"/>
          <w:szCs w:val="36"/>
          <w:highlight w:val="none"/>
          <w:u w:val="none" w:color="auto"/>
          <w:lang w:eastAsia="zh-CN"/>
        </w:rPr>
        <w:t>南通市中心血站血小板恒温振荡保存箱采购项目</w:t>
      </w:r>
      <w:r>
        <w:rPr>
          <w:rStyle w:val="9"/>
          <w:rFonts w:hint="eastAsia" w:ascii="宋体" w:hAnsi="宋体" w:eastAsia="宋体" w:cs="宋体"/>
          <w:b/>
          <w:color w:val="auto"/>
          <w:w w:val="80"/>
          <w:kern w:val="44"/>
          <w:sz w:val="36"/>
          <w:szCs w:val="36"/>
          <w:highlight w:val="none"/>
          <w:u w:val="none" w:color="auto"/>
          <w:lang w:eastAsia="zh-CN"/>
        </w:rPr>
        <w:t>需求</w:t>
      </w:r>
    </w:p>
    <w:bookmarkEnd w:id="0"/>
    <w:p>
      <w:pPr>
        <w:keepNext w:val="0"/>
        <w:keepLines w:val="0"/>
        <w:pageBreakBefore w:val="0"/>
        <w:kinsoku/>
        <w:wordWrap/>
        <w:overflowPunct/>
        <w:topLinePunct w:val="0"/>
        <w:bidi w:val="0"/>
        <w:spacing w:line="360" w:lineRule="auto"/>
        <w:ind w:firstLine="422" w:firstLineChars="200"/>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一、技术参数</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1.门体：采用立式单门设计，自关门设计，开门角度大于90度时悬停，方便存取操作。</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2.微电脑控制，箱内温度恒定控制在22±1℃范围内，控温精度0.1°C。</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3.显示：高清液晶触摸大屏显示，观察方便数字显示箱内温度，可以查询工作状态，曲线显示，报警和事件记录等信息。</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4.风冷设计，保证箱内任意角落的温度都维持在标定的温度范围内，同时增加测试孔设计，满足用户根据实际需要检测箱内温度。</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5.多种故障报警：高低温报警、断电报警、开门报警、传感器故障报警、电机故障报警、电池电量低报警。两种报警方式（声音蜂鸣报警和屏幕提示报警）。标配远程报警接口及485组网接口。</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6.冷凝水汇集后风冷蒸发，免除人工处理冷凝水的烦恼。</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配备四个脚轮和两个底脚，方便设备移动和锁定。</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8.半导体：采用半导体控温技术，高效节能，低噪音，使用寿命长。通电开机温差大时高功率，快速降温，稳定运行时低功率，箱内温度均匀性更好。</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9.振荡电机：进口品牌电机，高效节能，低噪音，高可靠性，使用寿命长。</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 噪声低，声压级≤55dB（A）。</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11.有效容积≥149L，存放≥9层（≥8个活动搁架），≥36袋（200mm*170mm）机采血小板。</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12.外部尺寸（宽*深*高）≤630*800*1050mm；内部尺寸（宽*深*高）≥500*550*600mm</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13.不锈钢内胆设计，防腐易清洁。</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14.标配机械锁，一把钥匙一把锁，保障存储血小板安全。</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15.后备电池设计，满足断电后报警并继续显示箱内实时温度需求。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16.箱内3个高精度传感器，主控传感器为高精度PT100。</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17.紫外灯：箱体内置紫外灯进行消毒杀菌，可根据需要设置为手动或自动定期定时模式。</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18.箱内设置LED照明灯，由屏幕上灯开关控制。</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19.标配USB接口，可下载设备温度数据、报警记录等信息，可以存储箱内温度数据10年，实现产品整个生命周期的温度数据可追溯。</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20.标配物联模块，通过内网、wifi或者sim卡上传数据至云平台后，通过电脑端和手机端可随时随地查看振荡箱信息。</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21.具有II类医疗器械注册证。</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22. 生产厂家具有医疗器械生产许可证</w:t>
      </w:r>
      <w:r>
        <w:rPr>
          <w:rFonts w:hint="eastAsia" w:ascii="宋体" w:hAnsi="宋体" w:eastAsia="宋体" w:cs="宋体"/>
          <w:color w:val="auto"/>
          <w:sz w:val="21"/>
          <w:szCs w:val="21"/>
          <w:highlight w:val="none"/>
          <w:lang w:val="en-US" w:eastAsia="zh-CN"/>
        </w:rPr>
        <w:t>。</w:t>
      </w:r>
    </w:p>
    <w:p>
      <w:pPr>
        <w:keepNext w:val="0"/>
        <w:keepLines w:val="0"/>
        <w:pageBreakBefore w:val="0"/>
        <w:numPr>
          <w:ilvl w:val="0"/>
          <w:numId w:val="0"/>
        </w:numPr>
        <w:kinsoku/>
        <w:wordWrap/>
        <w:overflowPunct/>
        <w:topLinePunct w:val="0"/>
        <w:bidi w:val="0"/>
        <w:spacing w:line="360" w:lineRule="auto"/>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二、采购数量：1台</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三、技术服务</w:t>
      </w:r>
      <w:r>
        <w:rPr>
          <w:rFonts w:hint="eastAsia" w:ascii="宋体" w:hAnsi="宋体" w:eastAsia="宋体" w:cs="宋体"/>
          <w:b/>
          <w:color w:val="auto"/>
          <w:sz w:val="21"/>
          <w:szCs w:val="21"/>
          <w:highlight w:val="none"/>
          <w:lang w:eastAsia="zh-CN"/>
        </w:rPr>
        <w:t>与</w:t>
      </w:r>
      <w:r>
        <w:rPr>
          <w:rFonts w:hint="eastAsia" w:ascii="宋体" w:hAnsi="宋体" w:eastAsia="宋体" w:cs="宋体"/>
          <w:b/>
          <w:color w:val="auto"/>
          <w:sz w:val="21"/>
          <w:szCs w:val="21"/>
          <w:highlight w:val="none"/>
          <w:lang w:val="en-US" w:eastAsia="zh-CN"/>
        </w:rPr>
        <w:t>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.合同履行期限：合同签订后</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个日历天</w:t>
      </w:r>
      <w:r>
        <w:rPr>
          <w:rFonts w:hint="eastAsia" w:ascii="宋体" w:hAnsi="宋体" w:eastAsia="宋体" w:cs="宋体"/>
          <w:color w:val="auto"/>
          <w:sz w:val="21"/>
          <w:szCs w:val="21"/>
          <w:highlight w:val="none"/>
        </w:rPr>
        <w:t>供货安装</w:t>
      </w:r>
      <w:r>
        <w:rPr>
          <w:rFonts w:hint="eastAsia" w:ascii="宋体" w:hAnsi="宋体" w:eastAsia="宋体" w:cs="宋体"/>
          <w:color w:val="auto"/>
          <w:sz w:val="21"/>
          <w:szCs w:val="21"/>
          <w:highlight w:val="none"/>
          <w:lang w:val="en-US" w:eastAsia="zh-CN"/>
        </w:rPr>
        <w:t>完成</w:t>
      </w:r>
      <w:r>
        <w:rPr>
          <w:rFonts w:hint="eastAsia" w:ascii="宋体" w:hAnsi="宋体" w:eastAsia="宋体" w:cs="宋体"/>
          <w:color w:val="auto"/>
          <w:sz w:val="21"/>
          <w:szCs w:val="21"/>
          <w:highlight w:val="none"/>
        </w:rPr>
        <w:t>。</w:t>
      </w:r>
    </w:p>
    <w:p>
      <w:pPr>
        <w:keepNext w:val="0"/>
        <w:keepLines w:val="0"/>
        <w:pageBreakBefore w:val="0"/>
        <w:numPr>
          <w:ilvl w:val="0"/>
          <w:numId w:val="0"/>
        </w:numPr>
        <w:kinsoku/>
        <w:wordWrap/>
        <w:overflowPunct/>
        <w:topLinePunct w:val="0"/>
        <w:bidi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至少一年</w:t>
      </w:r>
      <w:r>
        <w:rPr>
          <w:rFonts w:hint="eastAsia" w:ascii="宋体" w:hAnsi="宋体" w:eastAsia="宋体" w:cs="宋体"/>
          <w:b w:val="0"/>
          <w:bCs w:val="0"/>
          <w:color w:val="auto"/>
          <w:sz w:val="21"/>
          <w:szCs w:val="21"/>
          <w:highlight w:val="none"/>
        </w:rPr>
        <w:t>免费保修，厂商</w:t>
      </w:r>
      <w:r>
        <w:rPr>
          <w:rFonts w:hint="eastAsia" w:ascii="宋体" w:hAnsi="宋体" w:eastAsia="宋体" w:cs="宋体"/>
          <w:b w:val="0"/>
          <w:bCs w:val="0"/>
          <w:color w:val="auto"/>
          <w:sz w:val="21"/>
          <w:szCs w:val="21"/>
          <w:highlight w:val="none"/>
          <w:lang w:val="en-US" w:eastAsia="zh-CN"/>
        </w:rPr>
        <w:t>在省内</w:t>
      </w:r>
      <w:r>
        <w:rPr>
          <w:rFonts w:hint="eastAsia" w:ascii="宋体" w:hAnsi="宋体" w:eastAsia="宋体" w:cs="宋体"/>
          <w:b w:val="0"/>
          <w:bCs w:val="0"/>
          <w:color w:val="auto"/>
          <w:sz w:val="21"/>
          <w:szCs w:val="21"/>
          <w:highlight w:val="none"/>
        </w:rPr>
        <w:t>有售后服务部</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highlight w:val="none"/>
        </w:rPr>
        <w:t>配有专业售后服务人员</w:t>
      </w:r>
    </w:p>
    <w:p>
      <w:pPr>
        <w:keepNext w:val="0"/>
        <w:keepLines w:val="0"/>
        <w:pageBreakBefore w:val="0"/>
        <w:numPr>
          <w:ilvl w:val="0"/>
          <w:numId w:val="0"/>
        </w:numPr>
        <w:kinsoku/>
        <w:wordWrap/>
        <w:overflowPunct/>
        <w:topLinePunct w:val="0"/>
        <w:bidi w:val="0"/>
        <w:spacing w:line="360" w:lineRule="auto"/>
        <w:ind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.维修服务：一般问题应在</w:t>
      </w:r>
      <w:r>
        <w:rPr>
          <w:rFonts w:hint="eastAsia" w:ascii="宋体" w:hAnsi="宋体" w:eastAsia="宋体" w:cs="宋体"/>
          <w:color w:val="auto"/>
          <w:sz w:val="21"/>
          <w:szCs w:val="21"/>
          <w:highlight w:val="none"/>
          <w:lang w:eastAsia="zh-CN"/>
        </w:rPr>
        <w:t>12</w:t>
      </w:r>
      <w:r>
        <w:rPr>
          <w:rFonts w:hint="eastAsia" w:ascii="宋体" w:hAnsi="宋体" w:eastAsia="宋体" w:cs="宋体"/>
          <w:color w:val="auto"/>
          <w:sz w:val="21"/>
          <w:szCs w:val="21"/>
          <w:highlight w:val="none"/>
        </w:rPr>
        <w:t>小时内、重大问题应在</w:t>
      </w:r>
      <w:r>
        <w:rPr>
          <w:rFonts w:hint="eastAsia" w:ascii="宋体" w:hAnsi="宋体" w:eastAsia="宋体" w:cs="宋体"/>
          <w:color w:val="auto"/>
          <w:sz w:val="21"/>
          <w:szCs w:val="21"/>
          <w:highlight w:val="none"/>
          <w:lang w:eastAsia="zh-CN"/>
        </w:rPr>
        <w:t>24</w:t>
      </w:r>
      <w:r>
        <w:rPr>
          <w:rFonts w:hint="eastAsia" w:ascii="宋体" w:hAnsi="宋体" w:eastAsia="宋体" w:cs="宋体"/>
          <w:color w:val="auto"/>
          <w:sz w:val="21"/>
          <w:szCs w:val="21"/>
          <w:highlight w:val="none"/>
        </w:rPr>
        <w:t>小时内解决</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、验收</w:t>
      </w:r>
      <w:r>
        <w:rPr>
          <w:rFonts w:hint="eastAsia" w:ascii="宋体" w:hAnsi="宋体" w:eastAsia="宋体" w:cs="宋体"/>
          <w:b/>
          <w:color w:val="auto"/>
          <w:sz w:val="21"/>
          <w:szCs w:val="21"/>
          <w:highlight w:val="none"/>
          <w:lang w:val="en-US" w:eastAsia="zh-CN"/>
        </w:rPr>
        <w:t>要求及标准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（一）验收要求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1.供应商须提供产品设备的验收方案，该方案须符合国家相关行业标准和验收标准。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2.货物到达采购人指定现场前，应提前1天通知采购人做好准备，由采购人会同有关单位和人员根据中标供应商提供的货物设备清单，进行现场验收；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3.中标供应商在完成项目后，若经采购人验收不合格，中标供应商承担所有责任。</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（二）验收标准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1.采购文件第三章“项目需求”中明确的标准和技术要求；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2.与合同货物有关的最新版本的中华人民共和国国家/国际标准和部颁标准；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3.中标供应商随响应文件提供货物制造国的制造及验收的官方标准或货物验收大纲，经采购方确认后，将作为对货物的验收依据之一；</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4.中标供应商在澄清响应文件时作出的承诺，经采购方确认后，将作为对货物的验收依据之一；</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5.货物性能考核指标：不得低于上述货物验收标准中的指标。具体指标签订合同时根据采购文件和响应文件确定。</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、付款方式</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项目验收合格后支付合同总价的100%，款项由采购单位按相关财务支付规定办理支付手续。</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57408"/>
    <w:multiLevelType w:val="singleLevel"/>
    <w:tmpl w:val="27657408"/>
    <w:lvl w:ilvl="0" w:tentative="0">
      <w:start w:val="1"/>
      <w:numFmt w:val="decimal"/>
      <w:pStyle w:val="6"/>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D27D4"/>
    <w:rsid w:val="01705C99"/>
    <w:rsid w:val="100828AD"/>
    <w:rsid w:val="167421DE"/>
    <w:rsid w:val="187675E6"/>
    <w:rsid w:val="1946255C"/>
    <w:rsid w:val="2418219D"/>
    <w:rsid w:val="266D1322"/>
    <w:rsid w:val="27026E1B"/>
    <w:rsid w:val="2A790643"/>
    <w:rsid w:val="32047E1A"/>
    <w:rsid w:val="36BD095F"/>
    <w:rsid w:val="37FF0092"/>
    <w:rsid w:val="51937B70"/>
    <w:rsid w:val="522C70F0"/>
    <w:rsid w:val="5E3D27D4"/>
    <w:rsid w:val="6FE611FF"/>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99"/>
    <w:pPr>
      <w:spacing w:after="120" w:line="240" w:lineRule="auto"/>
      <w:ind w:left="420" w:leftChars="200" w:firstLine="200" w:firstLineChars="200"/>
    </w:pPr>
    <w:rPr>
      <w:kern w:val="2"/>
      <w:sz w:val="21"/>
      <w:szCs w:val="24"/>
    </w:rPr>
  </w:style>
  <w:style w:type="paragraph" w:styleId="3">
    <w:name w:val="Body Text Indent"/>
    <w:basedOn w:val="1"/>
    <w:next w:val="4"/>
    <w:qFormat/>
    <w:uiPriority w:val="99"/>
    <w:pPr>
      <w:spacing w:after="120"/>
      <w:ind w:left="420" w:leftChars="200"/>
    </w:pPr>
    <w:rPr>
      <w:rFonts w:eastAsia="宋体"/>
      <w:kern w:val="2"/>
      <w:sz w:val="21"/>
      <w:szCs w:val="24"/>
      <w:lang w:val="en-US" w:eastAsia="zh-CN" w:bidi="ar-SA"/>
    </w:rPr>
  </w:style>
  <w:style w:type="paragraph" w:styleId="4">
    <w:name w:val="envelope return"/>
    <w:basedOn w:val="1"/>
    <w:qFormat/>
    <w:uiPriority w:val="99"/>
    <w:pPr>
      <w:snapToGrid w:val="0"/>
    </w:pPr>
    <w:rPr>
      <w:rFonts w:ascii="Arial" w:hAnsi="Arial"/>
    </w:rPr>
  </w:style>
  <w:style w:type="paragraph" w:styleId="5">
    <w:name w:val="Plain Text"/>
    <w:basedOn w:val="1"/>
    <w:next w:val="6"/>
    <w:qFormat/>
    <w:uiPriority w:val="0"/>
    <w:rPr>
      <w:rFonts w:ascii="宋体" w:hAnsi="Courier New"/>
    </w:rPr>
  </w:style>
  <w:style w:type="paragraph" w:styleId="6">
    <w:name w:val="List Number 5"/>
    <w:basedOn w:val="1"/>
    <w:uiPriority w:val="0"/>
    <w:pPr>
      <w:numPr>
        <w:ilvl w:val="0"/>
        <w:numId w:val="1"/>
      </w:numPr>
    </w:pPr>
  </w:style>
  <w:style w:type="character" w:customStyle="1" w:styleId="9">
    <w:name w:val="NormalCharacter"/>
    <w:qFormat/>
    <w:uiPriority w:val="0"/>
  </w:style>
  <w:style w:type="paragraph" w:customStyle="1" w:styleId="10">
    <w:name w:val="Header"/>
    <w:basedOn w:val="1"/>
    <w:qFormat/>
    <w:uiPriority w:val="0"/>
    <w:pPr>
      <w:pBdr>
        <w:bottom w:val="single" w:color="000000"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2023-03-17T03:01:00Z</dcterms:created>
  <dc:creator>L</dc:creator>
  <cp:lastModifiedBy>L</cp:lastModifiedBy>
  <dcterms:modified xsi:type="dcterms:W3CDTF">2023-03-17T03:01:31Z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F63B9926EC2B4BA88B53DDE8D19696F9</vt:lpwstr>
  </property>
</Properties>
</file>