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6"/>
          <w:rFonts w:hint="eastAsia" w:ascii="宋体" w:hAnsi="宋体" w:eastAsia="宋体" w:cs="宋体"/>
          <w:b/>
          <w:color w:val="auto"/>
          <w:w w:val="80"/>
          <w:kern w:val="44"/>
          <w:sz w:val="36"/>
          <w:szCs w:val="36"/>
          <w:highlight w:val="none"/>
        </w:rPr>
      </w:pPr>
      <w:bookmarkStart w:id="0" w:name="_GoBack"/>
      <w:r>
        <w:rPr>
          <w:rStyle w:val="6"/>
          <w:rFonts w:hint="eastAsia" w:ascii="宋体" w:hAnsi="宋体" w:eastAsia="宋体" w:cs="宋体"/>
          <w:b/>
          <w:color w:val="auto"/>
          <w:w w:val="80"/>
          <w:kern w:val="44"/>
          <w:sz w:val="36"/>
          <w:szCs w:val="36"/>
          <w:highlight w:val="none"/>
          <w:lang w:eastAsia="zh-CN"/>
        </w:rPr>
        <w:t>南通市中心血站无偿献血奉献奖奖杯采购项目</w:t>
      </w:r>
      <w:r>
        <w:rPr>
          <w:rStyle w:val="6"/>
          <w:rFonts w:hint="eastAsia" w:ascii="宋体" w:hAnsi="宋体" w:eastAsia="宋体" w:cs="宋体"/>
          <w:b/>
          <w:color w:val="auto"/>
          <w:w w:val="80"/>
          <w:kern w:val="44"/>
          <w:sz w:val="36"/>
          <w:szCs w:val="36"/>
          <w:highlight w:val="none"/>
        </w:rPr>
        <w:t>需求</w:t>
      </w:r>
    </w:p>
    <w:bookmarkEnd w:id="0"/>
    <w:p>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一、技术参数</w:t>
      </w:r>
    </w:p>
    <w:tbl>
      <w:tblPr>
        <w:tblStyle w:val="4"/>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208"/>
        <w:gridCol w:w="1042"/>
        <w:gridCol w:w="3641"/>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17"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序号</w:t>
            </w:r>
          </w:p>
        </w:tc>
        <w:tc>
          <w:tcPr>
            <w:tcW w:w="1208"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品类</w:t>
            </w:r>
          </w:p>
        </w:tc>
        <w:tc>
          <w:tcPr>
            <w:tcW w:w="1042"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数量（个）</w:t>
            </w:r>
          </w:p>
        </w:tc>
        <w:tc>
          <w:tcPr>
            <w:tcW w:w="3641"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参数</w:t>
            </w:r>
          </w:p>
        </w:tc>
        <w:tc>
          <w:tcPr>
            <w:tcW w:w="2727" w:type="dxa"/>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w:t>
            </w:r>
          </w:p>
        </w:tc>
        <w:tc>
          <w:tcPr>
            <w:tcW w:w="1208" w:type="dxa"/>
            <w:vAlign w:val="center"/>
          </w:tcPr>
          <w:p>
            <w:pPr>
              <w:keepNext w:val="0"/>
              <w:keepLines w:val="0"/>
              <w:pageBreakBefore w:val="0"/>
              <w:numPr>
                <w:ilvl w:val="0"/>
                <w:numId w:val="0"/>
              </w:numPr>
              <w:kinsoku/>
              <w:wordWrap/>
              <w:overflowPunct/>
              <w:topLinePunct w:val="0"/>
              <w:bidi w:val="0"/>
              <w:spacing w:line="360" w:lineRule="auto"/>
              <w:jc w:val="both"/>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金奖奖杯</w:t>
            </w:r>
          </w:p>
        </w:tc>
        <w:tc>
          <w:tcPr>
            <w:tcW w:w="1042"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339</w:t>
            </w:r>
          </w:p>
        </w:tc>
        <w:tc>
          <w:tcPr>
            <w:tcW w:w="3641" w:type="dxa"/>
            <w:vAlign w:val="center"/>
          </w:tcPr>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1.奖杯外形如右图或类似外形；</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2.要求印如图所示字样；</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3.金银铜奖除文字区分外，杯体尺寸须有明显大小区分（金大银中铜小）；</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4.尺寸：高≥20cm，宽≥15cm；</w:t>
            </w:r>
          </w:p>
          <w:p>
            <w:pPr>
              <w:keepNext w:val="0"/>
              <w:keepLines w:val="0"/>
              <w:pageBreakBefore w:val="0"/>
              <w:numPr>
                <w:ilvl w:val="0"/>
                <w:numId w:val="0"/>
              </w:numPr>
              <w:kinsoku/>
              <w:wordWrap/>
              <w:overflowPunct/>
              <w:topLinePunct w:val="0"/>
              <w:bidi w:val="0"/>
              <w:spacing w:line="360" w:lineRule="auto"/>
              <w:jc w:val="both"/>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5.每个奖杯须带防震礼盒包装。</w:t>
            </w:r>
          </w:p>
        </w:tc>
        <w:tc>
          <w:tcPr>
            <w:tcW w:w="2727" w:type="dxa"/>
          </w:tcPr>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4"/>
                <w:szCs w:val="24"/>
                <w:highlight w:val="none"/>
                <w:vertAlign w:val="baseline"/>
                <w:lang w:val="en-US" w:eastAsia="zh-CN"/>
              </w:rPr>
            </w:pPr>
            <w:r>
              <w:rPr>
                <w:color w:val="auto"/>
                <w:szCs w:val="22"/>
                <w:highlight w:val="none"/>
              </w:rPr>
              <w:drawing>
                <wp:inline distT="0" distB="0" distL="0" distR="0">
                  <wp:extent cx="1638300" cy="2105025"/>
                  <wp:effectExtent l="0" t="0" r="0" b="3175"/>
                  <wp:docPr id="9" name="图片 9" descr="C:\Users\user\AppData\Local\Temp\WeChat Files\b467f70d310fd0e5504fa4f92d95c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AppData\Local\Temp\WeChat Files\b467f70d310fd0e5504fa4f92d95c38.jpg"/>
                          <pic:cNvPicPr>
                            <a:picLocks noChangeAspect="1" noChangeArrowheads="1"/>
                          </pic:cNvPicPr>
                        </pic:nvPicPr>
                        <pic:blipFill>
                          <a:blip r:embed="rId6"/>
                          <a:srcRect/>
                          <a:stretch>
                            <a:fillRect/>
                          </a:stretch>
                        </pic:blipFill>
                        <pic:spPr>
                          <a:xfrm>
                            <a:off x="0" y="0"/>
                            <a:ext cx="1638300" cy="21050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2</w:t>
            </w:r>
          </w:p>
        </w:tc>
        <w:tc>
          <w:tcPr>
            <w:tcW w:w="1208" w:type="dxa"/>
            <w:vAlign w:val="center"/>
          </w:tcPr>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银奖奖杯</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p>
        </w:tc>
        <w:tc>
          <w:tcPr>
            <w:tcW w:w="1042"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440</w:t>
            </w:r>
          </w:p>
        </w:tc>
        <w:tc>
          <w:tcPr>
            <w:tcW w:w="3641" w:type="dxa"/>
            <w:vAlign w:val="center"/>
          </w:tcPr>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1.奖杯外形如右图或类似外形；</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2.要求印如图所示字样；</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3.金银铜奖除文字区分外，杯体尺寸须有明显大小区分（金大银中铜小）；</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4.尺寸：高≥18cm，宽≥12cm；5.每个奖杯须带防震礼盒包装。</w:t>
            </w:r>
          </w:p>
        </w:tc>
        <w:tc>
          <w:tcPr>
            <w:tcW w:w="2727" w:type="dxa"/>
          </w:tcPr>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4"/>
                <w:szCs w:val="24"/>
                <w:highlight w:val="none"/>
                <w:vertAlign w:val="baseline"/>
                <w:lang w:val="en-US" w:eastAsia="zh-CN"/>
              </w:rPr>
            </w:pPr>
            <w:r>
              <w:rPr>
                <w:color w:val="auto"/>
                <w:szCs w:val="22"/>
                <w:highlight w:val="none"/>
              </w:rPr>
              <w:drawing>
                <wp:inline distT="0" distB="0" distL="0" distR="0">
                  <wp:extent cx="1638300" cy="2105025"/>
                  <wp:effectExtent l="0" t="0" r="0" b="3175"/>
                  <wp:docPr id="10" name="图片 10" descr="C:\Users\user\AppData\Local\Temp\WeChat Files\eba9884e7f5ab3fd265b35b6ed9ad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AppData\Local\Temp\WeChat Files\eba9884e7f5ab3fd265b35b6ed9adcf.jpg"/>
                          <pic:cNvPicPr>
                            <a:picLocks noChangeAspect="1" noChangeArrowheads="1"/>
                          </pic:cNvPicPr>
                        </pic:nvPicPr>
                        <pic:blipFill>
                          <a:blip r:embed="rId7"/>
                          <a:srcRect/>
                          <a:stretch>
                            <a:fillRect/>
                          </a:stretch>
                        </pic:blipFill>
                        <pic:spPr>
                          <a:xfrm>
                            <a:off x="0" y="0"/>
                            <a:ext cx="1638300" cy="21050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3</w:t>
            </w:r>
          </w:p>
        </w:tc>
        <w:tc>
          <w:tcPr>
            <w:tcW w:w="1208" w:type="dxa"/>
            <w:vAlign w:val="center"/>
          </w:tcPr>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 xml:space="preserve">铜奖奖杯 </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p>
        </w:tc>
        <w:tc>
          <w:tcPr>
            <w:tcW w:w="1042"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1189</w:t>
            </w:r>
          </w:p>
        </w:tc>
        <w:tc>
          <w:tcPr>
            <w:tcW w:w="3641" w:type="dxa"/>
            <w:vAlign w:val="center"/>
          </w:tcPr>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1.奖杯外形如右图或类似外形；</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2.要求印如图所示字样；</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3.金银铜奖除文字区分外，杯体尺寸须有明显大小区分（金大银中铜小）；</w:t>
            </w:r>
          </w:p>
          <w:p>
            <w:pPr>
              <w:keepNext w:val="0"/>
              <w:keepLines w:val="0"/>
              <w:pageBreakBefore w:val="0"/>
              <w:numPr>
                <w:ilvl w:val="0"/>
                <w:numId w:val="0"/>
              </w:numPr>
              <w:kinsoku/>
              <w:wordWrap/>
              <w:overflowPunct/>
              <w:topLinePunct w:val="0"/>
              <w:bidi w:val="0"/>
              <w:spacing w:line="360" w:lineRule="auto"/>
              <w:jc w:val="both"/>
              <w:textAlignment w:val="auto"/>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4.尺寸：高≥15cm，宽≥10cm；5.每个奖杯须带防震礼盒包装。</w:t>
            </w:r>
          </w:p>
        </w:tc>
        <w:tc>
          <w:tcPr>
            <w:tcW w:w="2727" w:type="dxa"/>
          </w:tcPr>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4"/>
                <w:szCs w:val="24"/>
                <w:highlight w:val="none"/>
                <w:vertAlign w:val="baseline"/>
                <w:lang w:val="en-US" w:eastAsia="zh-CN"/>
              </w:rPr>
            </w:pPr>
            <w:r>
              <w:rPr>
                <w:color w:val="auto"/>
                <w:szCs w:val="22"/>
                <w:highlight w:val="none"/>
              </w:rPr>
              <w:drawing>
                <wp:inline distT="0" distB="0" distL="0" distR="0">
                  <wp:extent cx="1638300" cy="2105025"/>
                  <wp:effectExtent l="0" t="0" r="0" b="3175"/>
                  <wp:docPr id="11" name="图片 11" descr="C:\Users\user\AppData\Local\Temp\WeChat Files\afd25aa32efc4e4563ae225d52f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AppData\Local\Temp\WeChat Files\afd25aa32efc4e4563ae225d52f0262.jpg"/>
                          <pic:cNvPicPr>
                            <a:picLocks noChangeAspect="1" noChangeArrowheads="1"/>
                          </pic:cNvPicPr>
                        </pic:nvPicPr>
                        <pic:blipFill>
                          <a:blip r:embed="rId8"/>
                          <a:srcRect/>
                          <a:stretch>
                            <a:fillRect/>
                          </a:stretch>
                        </pic:blipFill>
                        <pic:spPr>
                          <a:xfrm>
                            <a:off x="0" y="0"/>
                            <a:ext cx="1638300" cy="210502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4</w:t>
            </w:r>
          </w:p>
        </w:tc>
        <w:tc>
          <w:tcPr>
            <w:tcW w:w="1208" w:type="dxa"/>
            <w:vAlign w:val="center"/>
          </w:tcPr>
          <w:p>
            <w:pP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全国无偿献血奉献奖终身荣誉奖</w:t>
            </w:r>
          </w:p>
        </w:tc>
        <w:tc>
          <w:tcPr>
            <w:tcW w:w="1042" w:type="dxa"/>
            <w:vAlign w:val="center"/>
          </w:tcPr>
          <w:p>
            <w:pPr>
              <w:jc w:val="center"/>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178</w:t>
            </w:r>
          </w:p>
        </w:tc>
        <w:tc>
          <w:tcPr>
            <w:tcW w:w="3641" w:type="dxa"/>
            <w:vAlign w:val="center"/>
          </w:tcPr>
          <w:p>
            <w:pP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1.奖杯外形如右图或类似外形；</w:t>
            </w:r>
          </w:p>
          <w:p>
            <w:pP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2.要求印如图所示字样；最终供货前须在奖杯上印获奖人员姓名，名单由采购人提供；</w:t>
            </w:r>
          </w:p>
          <w:p>
            <w:pP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3.尺寸：高≥25cm；</w:t>
            </w:r>
          </w:p>
          <w:p>
            <w:pPr>
              <w:pStyle w:val="2"/>
              <w:rPr>
                <w:rFonts w:hint="eastAsia"/>
                <w:color w:val="auto"/>
                <w:kern w:val="2"/>
                <w:highlight w:val="none"/>
                <w:lang w:val="en-US" w:eastAsia="zh-CN"/>
              </w:rPr>
            </w:pPr>
            <w:r>
              <w:rPr>
                <w:rFonts w:hint="eastAsia" w:ascii="宋体" w:hAnsi="宋体" w:eastAsia="宋体" w:cs="宋体"/>
                <w:b/>
                <w:color w:val="auto"/>
                <w:kern w:val="2"/>
                <w:sz w:val="24"/>
                <w:szCs w:val="24"/>
                <w:highlight w:val="none"/>
                <w:vertAlign w:val="baseline"/>
                <w:lang w:val="en-US" w:eastAsia="zh-CN"/>
              </w:rPr>
              <w:t>4.每个奖杯须带防震礼盒包装。</w:t>
            </w:r>
          </w:p>
          <w:p>
            <w:pPr>
              <w:rPr>
                <w:rFonts w:hint="eastAsia" w:ascii="宋体" w:hAnsi="宋体" w:eastAsia="宋体" w:cs="宋体"/>
                <w:b/>
                <w:color w:val="auto"/>
                <w:sz w:val="24"/>
                <w:szCs w:val="24"/>
                <w:highlight w:val="none"/>
                <w:vertAlign w:val="baseline"/>
                <w:lang w:val="en-US" w:eastAsia="zh-CN"/>
              </w:rPr>
            </w:pPr>
          </w:p>
        </w:tc>
        <w:tc>
          <w:tcPr>
            <w:tcW w:w="2727" w:type="dxa"/>
          </w:tcPr>
          <w:p>
            <w:pPr>
              <w:keepNext w:val="0"/>
              <w:keepLines w:val="0"/>
              <w:pageBreakBefore w:val="0"/>
              <w:numPr>
                <w:ilvl w:val="0"/>
                <w:numId w:val="0"/>
              </w:numPr>
              <w:kinsoku/>
              <w:wordWrap/>
              <w:overflowPunct/>
              <w:topLinePunct w:val="0"/>
              <w:bidi w:val="0"/>
              <w:spacing w:line="360" w:lineRule="auto"/>
              <w:textAlignment w:val="auto"/>
              <w:rPr>
                <w:color w:val="auto"/>
                <w:szCs w:val="22"/>
                <w:highlight w:val="none"/>
              </w:rPr>
            </w:pPr>
            <w:r>
              <w:rPr>
                <w:color w:val="auto"/>
                <w:szCs w:val="22"/>
                <w:highlight w:val="none"/>
              </w:rPr>
              <w:drawing>
                <wp:inline distT="0" distB="0" distL="0" distR="0">
                  <wp:extent cx="1924050" cy="3642360"/>
                  <wp:effectExtent l="0" t="0" r="6350" b="2540"/>
                  <wp:docPr id="12" name="图片 12" descr="C:\Users\user\AppData\Local\Temp\WeChat Files\fb49cb472d1766a262ec622aaf0d1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user\AppData\Local\Temp\WeChat Files\fb49cb472d1766a262ec622aaf0d1f4.jpg"/>
                          <pic:cNvPicPr>
                            <a:picLocks noChangeAspect="1" noChangeArrowheads="1"/>
                          </pic:cNvPicPr>
                        </pic:nvPicPr>
                        <pic:blipFill>
                          <a:blip r:embed="rId9"/>
                          <a:srcRect/>
                          <a:stretch>
                            <a:fillRect/>
                          </a:stretch>
                        </pic:blipFill>
                        <pic:spPr>
                          <a:xfrm>
                            <a:off x="0" y="0"/>
                            <a:ext cx="1924050" cy="3642619"/>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pPr>
              <w:keepNext w:val="0"/>
              <w:keepLines w:val="0"/>
              <w:pageBreakBefore w:val="0"/>
              <w:numPr>
                <w:ilvl w:val="0"/>
                <w:numId w:val="0"/>
              </w:numPr>
              <w:kinsoku/>
              <w:wordWrap/>
              <w:overflowPunct/>
              <w:topLinePunct w:val="0"/>
              <w:bidi w:val="0"/>
              <w:spacing w:line="360" w:lineRule="auto"/>
              <w:jc w:val="center"/>
              <w:textAlignment w:val="auto"/>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5</w:t>
            </w:r>
          </w:p>
        </w:tc>
        <w:tc>
          <w:tcPr>
            <w:tcW w:w="1208" w:type="dxa"/>
            <w:vAlign w:val="center"/>
          </w:tcPr>
          <w:p>
            <w:pP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全国无偿献血志愿服务奖终身荣誉奖</w:t>
            </w:r>
          </w:p>
        </w:tc>
        <w:tc>
          <w:tcPr>
            <w:tcW w:w="1042" w:type="dxa"/>
            <w:vAlign w:val="center"/>
          </w:tcPr>
          <w:p>
            <w:pPr>
              <w:jc w:val="center"/>
              <w:rPr>
                <w:rFonts w:hint="default"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w:t>
            </w:r>
          </w:p>
        </w:tc>
        <w:tc>
          <w:tcPr>
            <w:tcW w:w="3641" w:type="dxa"/>
            <w:vAlign w:val="center"/>
          </w:tcPr>
          <w:p>
            <w:pP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1.奖杯外形如右图或类似外形；</w:t>
            </w:r>
          </w:p>
          <w:p>
            <w:pPr>
              <w:rPr>
                <w:rFonts w:hint="eastAsia" w:ascii="宋体" w:hAnsi="宋体" w:eastAsia="宋体" w:cs="宋体"/>
                <w:b/>
                <w:color w:val="auto"/>
                <w:sz w:val="24"/>
                <w:szCs w:val="24"/>
                <w:highlight w:val="none"/>
                <w:vertAlign w:val="baseline"/>
                <w:lang w:val="en-US" w:eastAsia="zh-CN"/>
              </w:rPr>
            </w:pPr>
            <w:r>
              <w:rPr>
                <w:rFonts w:hint="eastAsia" w:ascii="宋体" w:hAnsi="宋体" w:eastAsia="宋体" w:cs="宋体"/>
                <w:b/>
                <w:color w:val="auto"/>
                <w:sz w:val="24"/>
                <w:szCs w:val="24"/>
                <w:highlight w:val="none"/>
                <w:vertAlign w:val="baseline"/>
                <w:lang w:val="en-US" w:eastAsia="zh-CN"/>
              </w:rPr>
              <w:t>2.要求印如图所示字样；最终供货前须在奖杯上印获奖人员姓名，名单由采购人提供；</w:t>
            </w:r>
          </w:p>
          <w:p>
            <w:pPr>
              <w:pStyle w:val="2"/>
              <w:rPr>
                <w:rFonts w:hint="eastAsia" w:ascii="宋体" w:hAnsi="宋体" w:eastAsia="宋体" w:cs="宋体"/>
                <w:b/>
                <w:color w:val="auto"/>
                <w:kern w:val="2"/>
                <w:sz w:val="24"/>
                <w:szCs w:val="24"/>
                <w:highlight w:val="none"/>
                <w:vertAlign w:val="baseline"/>
                <w:lang w:val="en-US" w:eastAsia="zh-CN"/>
              </w:rPr>
            </w:pPr>
            <w:r>
              <w:rPr>
                <w:rFonts w:hint="eastAsia" w:ascii="宋体" w:hAnsi="宋体" w:eastAsia="宋体" w:cs="宋体"/>
                <w:b/>
                <w:color w:val="auto"/>
                <w:kern w:val="2"/>
                <w:sz w:val="24"/>
                <w:szCs w:val="24"/>
                <w:highlight w:val="none"/>
                <w:vertAlign w:val="baseline"/>
                <w:lang w:val="en-US" w:eastAsia="zh-CN"/>
              </w:rPr>
              <w:t>3.尺寸：高≥25cm；</w:t>
            </w:r>
          </w:p>
          <w:p>
            <w:pPr>
              <w:pStyle w:val="2"/>
              <w:rPr>
                <w:rFonts w:hint="eastAsia"/>
                <w:color w:val="auto"/>
                <w:kern w:val="2"/>
                <w:highlight w:val="none"/>
                <w:lang w:val="en-US" w:eastAsia="zh-CN"/>
              </w:rPr>
            </w:pPr>
            <w:r>
              <w:rPr>
                <w:rFonts w:hint="eastAsia" w:ascii="宋体" w:hAnsi="宋体" w:eastAsia="宋体" w:cs="宋体"/>
                <w:b/>
                <w:color w:val="auto"/>
                <w:kern w:val="2"/>
                <w:sz w:val="24"/>
                <w:szCs w:val="24"/>
                <w:highlight w:val="none"/>
                <w:vertAlign w:val="baseline"/>
                <w:lang w:val="en-US" w:eastAsia="zh-CN"/>
              </w:rPr>
              <w:t>4.每个奖杯须带防震礼盒包装。</w:t>
            </w:r>
          </w:p>
          <w:p>
            <w:pPr>
              <w:rPr>
                <w:rFonts w:hint="eastAsia" w:ascii="宋体" w:hAnsi="宋体" w:eastAsia="宋体" w:cs="宋体"/>
                <w:b/>
                <w:color w:val="auto"/>
                <w:sz w:val="24"/>
                <w:szCs w:val="24"/>
                <w:highlight w:val="none"/>
                <w:vertAlign w:val="baseline"/>
                <w:lang w:val="en-US" w:eastAsia="zh-CN"/>
              </w:rPr>
            </w:pPr>
          </w:p>
          <w:p>
            <w:pPr>
              <w:rPr>
                <w:rFonts w:hint="eastAsia" w:ascii="宋体" w:hAnsi="宋体" w:eastAsia="宋体" w:cs="宋体"/>
                <w:b/>
                <w:color w:val="auto"/>
                <w:sz w:val="24"/>
                <w:szCs w:val="24"/>
                <w:highlight w:val="none"/>
                <w:vertAlign w:val="baseline"/>
                <w:lang w:val="en-US" w:eastAsia="zh-CN"/>
              </w:rPr>
            </w:pPr>
          </w:p>
        </w:tc>
        <w:tc>
          <w:tcPr>
            <w:tcW w:w="2727" w:type="dxa"/>
          </w:tcPr>
          <w:p>
            <w:pPr>
              <w:keepNext w:val="0"/>
              <w:keepLines w:val="0"/>
              <w:pageBreakBefore w:val="0"/>
              <w:numPr>
                <w:ilvl w:val="0"/>
                <w:numId w:val="0"/>
              </w:numPr>
              <w:kinsoku/>
              <w:wordWrap/>
              <w:overflowPunct/>
              <w:topLinePunct w:val="0"/>
              <w:bidi w:val="0"/>
              <w:spacing w:line="360" w:lineRule="auto"/>
              <w:textAlignment w:val="auto"/>
              <w:rPr>
                <w:color w:val="auto"/>
                <w:szCs w:val="22"/>
                <w:highlight w:val="none"/>
              </w:rPr>
            </w:pPr>
            <w:r>
              <w:rPr>
                <w:color w:val="auto"/>
                <w:szCs w:val="22"/>
                <w:highlight w:val="none"/>
              </w:rPr>
              <w:drawing>
                <wp:inline distT="0" distB="0" distL="0" distR="0">
                  <wp:extent cx="1961515" cy="3714750"/>
                  <wp:effectExtent l="0" t="0" r="6985" b="6350"/>
                  <wp:docPr id="13" name="图片 13" descr="C:\Users\user\AppData\Local\Temp\WeChat Files\368bd53aa3477a2d8e2c37d157047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user\AppData\Local\Temp\WeChat Files\368bd53aa3477a2d8e2c37d157047e4.jpg"/>
                          <pic:cNvPicPr>
                            <a:picLocks noChangeAspect="1" noChangeArrowheads="1"/>
                          </pic:cNvPicPr>
                        </pic:nvPicPr>
                        <pic:blipFill>
                          <a:blip r:embed="rId10"/>
                          <a:srcRect/>
                          <a:stretch>
                            <a:fillRect/>
                          </a:stretch>
                        </pic:blipFill>
                        <pic:spPr>
                          <a:xfrm>
                            <a:off x="0" y="0"/>
                            <a:ext cx="1965281" cy="3720679"/>
                          </a:xfrm>
                          <a:prstGeom prst="rect">
                            <a:avLst/>
                          </a:prstGeom>
                          <a:noFill/>
                          <a:ln w="9525">
                            <a:noFill/>
                            <a:miter lim="800000"/>
                            <a:headEnd/>
                            <a:tailEnd/>
                          </a:ln>
                        </pic:spPr>
                      </pic:pic>
                    </a:graphicData>
                  </a:graphic>
                </wp:inline>
              </w:drawing>
            </w:r>
          </w:p>
        </w:tc>
      </w:tr>
    </w:tbl>
    <w:p>
      <w:pPr>
        <w:keepNext w:val="0"/>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注：数量暂定，最终按采购人提供的数量供货，按实结算。</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、质量保证</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应保证货物是全新、未使用过的原厂合格</w:t>
      </w:r>
      <w:r>
        <w:rPr>
          <w:rFonts w:hint="eastAsia" w:ascii="宋体" w:hAnsi="宋体" w:eastAsia="宋体" w:cs="宋体"/>
          <w:color w:val="auto"/>
          <w:sz w:val="24"/>
          <w:szCs w:val="24"/>
          <w:highlight w:val="none"/>
          <w:lang w:val="en-US" w:eastAsia="zh-CN"/>
        </w:rPr>
        <w:t>正品</w:t>
      </w:r>
      <w:r>
        <w:rPr>
          <w:rFonts w:hint="eastAsia" w:ascii="宋体" w:hAnsi="宋体" w:eastAsia="宋体" w:cs="宋体"/>
          <w:color w:val="auto"/>
          <w:sz w:val="24"/>
          <w:szCs w:val="24"/>
          <w:highlight w:val="none"/>
        </w:rPr>
        <w:t>，并完全符合</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及本合同规定的质量、规格和参数的要求。验收过程中发现不符合要求的，将视作不合格产品，</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有权终止合同，造成的一切损失由供应商承担。</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产品</w:t>
      </w:r>
      <w:r>
        <w:rPr>
          <w:rFonts w:hint="eastAsia" w:ascii="宋体" w:hAnsi="宋体" w:eastAsia="宋体" w:cs="宋体"/>
          <w:color w:val="auto"/>
          <w:sz w:val="24"/>
          <w:szCs w:val="24"/>
          <w:highlight w:val="none"/>
        </w:rPr>
        <w:t>的技术标准按国家标准执行，无国家标准的，按行业标准执行，无国家和行业标准的，按企业标准执行；但在</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中有特别要求的，按</w:t>
      </w:r>
      <w:r>
        <w:rPr>
          <w:rFonts w:hint="eastAsia" w:ascii="宋体" w:hAnsi="宋体" w:eastAsia="宋体" w:cs="宋体"/>
          <w:color w:val="auto"/>
          <w:sz w:val="24"/>
          <w:szCs w:val="24"/>
          <w:highlight w:val="none"/>
          <w:lang w:eastAsia="zh-CN"/>
        </w:rPr>
        <w:t>比选文件</w:t>
      </w:r>
      <w:r>
        <w:rPr>
          <w:rFonts w:hint="eastAsia" w:ascii="宋体" w:hAnsi="宋体" w:eastAsia="宋体" w:cs="宋体"/>
          <w:color w:val="auto"/>
          <w:sz w:val="24"/>
          <w:szCs w:val="24"/>
          <w:highlight w:val="none"/>
        </w:rPr>
        <w:t>中规定的要求执行，并且符合相关法律、法规规定的要求。</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应保证提供的产品不得侵犯第三方专利权、商标权和设计权、版权等。否则，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应负全部责任，并承担由此引起的一切后果。</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应保证其货物在正确安装、正常使用下，在其使用寿命期内应具有满意的性能。</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应采取必要的安全措施保证货物的运输及安装的安全，并承担货物的运输及安装过程中产生的风险。</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必须保证所提供的产品符合国家相应质量要求，所有产品必须具备市级及以上质量技术监督机构出具的合格证书，并随货同行。</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7.因产品质量导致的人身伤害及财产伤害均由成交供应商承担。</w:t>
      </w:r>
    </w:p>
    <w:p>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、包装</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必须为原包装，在送交</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验收前不得拆箱。</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所出售的全部货物均应按标准保护措施进行包装，这类包装应适应于远距离运输、防潮、防震、防锈和防野蛮装卸等要求，以确保货物安全无损地运抵指定现场。</w:t>
      </w:r>
    </w:p>
    <w:p>
      <w:pPr>
        <w:keepNext w:val="0"/>
        <w:keepLines w:val="0"/>
        <w:pageBreakBefore w:val="0"/>
        <w:widowControl w:val="0"/>
        <w:kinsoku/>
        <w:wordWrap/>
        <w:overflowPunct/>
        <w:topLinePunct w:val="0"/>
        <w:autoSpaceDE/>
        <w:autoSpaceDN/>
        <w:bidi w:val="0"/>
        <w:adjustRightInd/>
        <w:spacing w:line="520" w:lineRule="exact"/>
        <w:ind w:firstLine="484" w:firstLineChars="20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每一个包装箱内应附有出厂标准配置的有关技术、质量、三包等资料。</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、验收要求</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w:t>
      </w:r>
      <w:r>
        <w:rPr>
          <w:rFonts w:hint="eastAsia" w:ascii="宋体" w:hAnsi="宋体" w:eastAsia="宋体" w:cs="宋体"/>
          <w:color w:val="auto"/>
          <w:sz w:val="24"/>
          <w:szCs w:val="24"/>
          <w:highlight w:val="none"/>
          <w:lang w:val="en-US" w:eastAsia="zh-CN"/>
        </w:rPr>
        <w:t>制定产品</w:t>
      </w:r>
      <w:r>
        <w:rPr>
          <w:rFonts w:hint="eastAsia" w:ascii="宋体" w:hAnsi="宋体" w:eastAsia="宋体" w:cs="宋体"/>
          <w:color w:val="auto"/>
          <w:sz w:val="24"/>
          <w:szCs w:val="24"/>
          <w:highlight w:val="none"/>
        </w:rPr>
        <w:t>验收方案，该方案须符合国家相关行业标准和验收标准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（二）货物到达</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指定现场前，应提前3天通知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做好准备，由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会同有关单位和人员根据</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提供的货物设备清单，进行现场验收；</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在完成项目后，若经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验收不合格，</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承担所有责任。</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五、质保期：</w:t>
      </w:r>
      <w:r>
        <w:rPr>
          <w:rFonts w:hint="eastAsia" w:ascii="宋体" w:hAnsi="宋体" w:eastAsia="宋体" w:cs="宋体"/>
          <w:color w:val="auto"/>
          <w:sz w:val="24"/>
          <w:szCs w:val="24"/>
          <w:highlight w:val="none"/>
          <w:lang w:val="en-US" w:eastAsia="zh-CN"/>
        </w:rPr>
        <w:t>质保期至少一年。在采购人向献血者发放前发现的产品破损，均由成交供应商免费更换。</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六、付款方式</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所有货物送货到采购人指定地点并验收合格后采购人支付合同总价的100%。</w:t>
      </w:r>
    </w:p>
    <w:p>
      <w:pPr>
        <w:keepNext w:val="0"/>
        <w:keepLines w:val="0"/>
        <w:pageBreakBefore w:val="0"/>
        <w:widowControl w:val="0"/>
        <w:kinsoku/>
        <w:wordWrap/>
        <w:overflowPunct/>
        <w:topLinePunct w:val="0"/>
        <w:autoSpaceDE/>
        <w:autoSpaceDN/>
        <w:bidi w:val="0"/>
        <w:adjustRightInd/>
        <w:snapToGrid w:val="0"/>
        <w:spacing w:line="520" w:lineRule="exact"/>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七、供货期</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合同签订后10个日历天内供货到采购人指定地点。</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03329"/>
    <w:rsid w:val="01705C99"/>
    <w:rsid w:val="100828AD"/>
    <w:rsid w:val="147E133E"/>
    <w:rsid w:val="167421DE"/>
    <w:rsid w:val="187675E6"/>
    <w:rsid w:val="1946255C"/>
    <w:rsid w:val="1AE42514"/>
    <w:rsid w:val="2418219D"/>
    <w:rsid w:val="266D1322"/>
    <w:rsid w:val="26E03329"/>
    <w:rsid w:val="27026E1B"/>
    <w:rsid w:val="2A790643"/>
    <w:rsid w:val="32047E1A"/>
    <w:rsid w:val="36BD095F"/>
    <w:rsid w:val="37FF0092"/>
    <w:rsid w:val="51937B70"/>
    <w:rsid w:val="522C70F0"/>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table" w:styleId="4">
    <w:name w:val="Table Grid"/>
    <w:basedOn w:val="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NormalCharacter"/>
    <w:qFormat/>
    <w:uiPriority w:val="0"/>
  </w:style>
  <w:style w:type="paragraph" w:customStyle="1" w:styleId="7">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2023-05-26T03:40:00Z</dcterms:created>
  <dc:creator>L</dc:creator>
  <cp:lastModifiedBy>L</cp:lastModifiedBy>
  <dcterms:modified xsi:type="dcterms:W3CDTF">2023-05-26T03:41:20Z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CFE04B80C18D4E2295F7EFF0A6E851C3</vt:lpwstr>
  </property>
</Properties>
</file>